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781D5D">
      <w:pPr>
        <w:pStyle w:val="3"/>
        <w:ind w:firstLine="0" w:firstLineChars="0"/>
        <w:rPr>
          <w:rFonts w:ascii="Times New Roman" w:hAnsi="Times New Roman" w:cs="Times New Roman"/>
        </w:rPr>
      </w:pPr>
      <w:r>
        <w:rPr>
          <w:rFonts w:ascii="Times New Roman" w:hAnsi="Times New Roman" w:cs="Times New Roman"/>
        </w:rPr>
        <w:t>附件1</w:t>
      </w:r>
    </w:p>
    <w:p w14:paraId="265A3F70">
      <w:pPr>
        <w:ind w:firstLine="640"/>
        <w:rPr>
          <w:rFonts w:ascii="Times New Roman" w:hAnsi="Times New Roman" w:cs="Times New Roman"/>
        </w:rPr>
      </w:pPr>
    </w:p>
    <w:p w14:paraId="08E32A0B">
      <w:pPr>
        <w:pStyle w:val="2"/>
        <w:spacing w:line="700" w:lineRule="exact"/>
        <w:rPr>
          <w:rFonts w:ascii="Times New Roman" w:hAnsi="Times New Roman" w:cs="Times New Roman"/>
        </w:rPr>
      </w:pPr>
      <w:r>
        <w:rPr>
          <w:rFonts w:ascii="Times New Roman" w:hAnsi="Times New Roman" w:cs="Times New Roman"/>
        </w:rPr>
        <w:t>2024年湖南省重大品种研发推广应用</w:t>
      </w:r>
    </w:p>
    <w:p w14:paraId="1A0DF30D">
      <w:pPr>
        <w:pStyle w:val="2"/>
        <w:spacing w:line="700" w:lineRule="exact"/>
        <w:rPr>
          <w:rFonts w:ascii="Times New Roman" w:hAnsi="Times New Roman" w:cs="Times New Roman"/>
        </w:rPr>
      </w:pPr>
      <w:r>
        <w:rPr>
          <w:rFonts w:ascii="Times New Roman" w:hAnsi="Times New Roman" w:cs="Times New Roman"/>
        </w:rPr>
        <w:t>一体化试点水稻遴选方案</w:t>
      </w:r>
    </w:p>
    <w:p w14:paraId="4BAF6B15">
      <w:pPr>
        <w:spacing w:line="550" w:lineRule="atLeast"/>
        <w:ind w:firstLine="640"/>
        <w:rPr>
          <w:rFonts w:ascii="Times New Roman" w:hAnsi="Times New Roman" w:cs="Times New Roman"/>
        </w:rPr>
      </w:pPr>
    </w:p>
    <w:p w14:paraId="1FEAD4D5">
      <w:pPr>
        <w:spacing w:line="550" w:lineRule="atLeast"/>
        <w:ind w:firstLine="640"/>
        <w:rPr>
          <w:rFonts w:ascii="Times New Roman" w:hAnsi="Times New Roman" w:cs="Times New Roman"/>
        </w:rPr>
      </w:pPr>
      <w:r>
        <w:rPr>
          <w:rFonts w:ascii="Times New Roman" w:hAnsi="Times New Roman" w:cs="Times New Roman"/>
        </w:rPr>
        <w:t xml:space="preserve">为加大我省水稻优良品种的推广力度，充分发挥优良品种在促进水稻产业发展和农民增收中的重要作用，按照湖南省农业农村厅、省财政厅《2024年湖南省重大品种研发推广应用一体化试点实施方案》要求，遴选生产急需特定绿色和广适早稻≤5个，生产急需特定绿色和高产、优质、广适中稻≤8个，生产急需特定绿色和高档、优质、广适晚稻≤7个品种进行推广补助。参照各品种2023年的推广面积，对2024年新增推广面积进行补助，补助标准为每亩不超过30元，单品种年补助金额不超过500万元，资金补助总量为4500万元，一次性实施补助。制定如下遴选方案： </w:t>
      </w:r>
    </w:p>
    <w:p w14:paraId="662726EB">
      <w:pPr>
        <w:pStyle w:val="3"/>
        <w:keepNext w:val="0"/>
        <w:keepLines w:val="0"/>
        <w:spacing w:line="550" w:lineRule="atLeast"/>
        <w:ind w:firstLine="640"/>
        <w:rPr>
          <w:rFonts w:ascii="Times New Roman" w:hAnsi="Times New Roman" w:cs="Times New Roman"/>
        </w:rPr>
      </w:pPr>
      <w:r>
        <w:rPr>
          <w:rFonts w:ascii="Times New Roman" w:hAnsi="Times New Roman" w:cs="Times New Roman"/>
        </w:rPr>
        <w:t>一、品种和企业资质审查</w:t>
      </w:r>
    </w:p>
    <w:p w14:paraId="7ACE7DEE">
      <w:pPr>
        <w:spacing w:line="550" w:lineRule="atLeast"/>
        <w:ind w:firstLine="640"/>
        <w:rPr>
          <w:rFonts w:ascii="Times New Roman" w:hAnsi="Times New Roman" w:cs="Times New Roman"/>
        </w:rPr>
      </w:pPr>
      <w:r>
        <w:rPr>
          <w:rFonts w:ascii="Times New Roman" w:hAnsi="Times New Roman" w:cs="Times New Roman"/>
        </w:rPr>
        <w:t>（一）申报企业的营业执照、生产经营许可证，联合申报单位法定代表人证书；</w:t>
      </w:r>
    </w:p>
    <w:p w14:paraId="60C7BE49">
      <w:pPr>
        <w:spacing w:line="550" w:lineRule="atLeast"/>
        <w:ind w:firstLine="640"/>
        <w:rPr>
          <w:rFonts w:ascii="Times New Roman" w:hAnsi="Times New Roman" w:cs="Times New Roman"/>
        </w:rPr>
      </w:pPr>
      <w:r>
        <w:rPr>
          <w:rFonts w:ascii="Times New Roman" w:hAnsi="Times New Roman" w:cs="Times New Roman"/>
        </w:rPr>
        <w:t>（二）申报品种的审定证书、品种审定公告（公告首页和本品种部分）；</w:t>
      </w:r>
    </w:p>
    <w:p w14:paraId="5DF31FC7">
      <w:pPr>
        <w:spacing w:line="550" w:lineRule="atLeast"/>
        <w:ind w:firstLine="640"/>
        <w:rPr>
          <w:rFonts w:ascii="Times New Roman" w:hAnsi="Times New Roman" w:cs="Times New Roman"/>
        </w:rPr>
      </w:pPr>
      <w:r>
        <w:rPr>
          <w:rFonts w:ascii="Times New Roman" w:hAnsi="Times New Roman" w:cs="Times New Roman"/>
        </w:rPr>
        <w:t>（三）申报企业如不是品种第一选育单位，须与第一选育单位联合申报，申报企业与品种选育单位（或个人）的合作申报协议。申报品种为授权品种的，须经品种权人授权同意；</w:t>
      </w:r>
    </w:p>
    <w:p w14:paraId="16E68227">
      <w:pPr>
        <w:spacing w:line="550" w:lineRule="atLeast"/>
        <w:ind w:firstLine="640"/>
        <w:rPr>
          <w:rFonts w:ascii="Times New Roman" w:hAnsi="Times New Roman" w:cs="Times New Roman"/>
        </w:rPr>
      </w:pPr>
      <w:r>
        <w:rPr>
          <w:rFonts w:ascii="Times New Roman" w:hAnsi="Times New Roman" w:cs="Times New Roman"/>
        </w:rPr>
        <w:t>（四）同一品种只能由1个企业进行申报，申报时间在前的优先。</w:t>
      </w:r>
    </w:p>
    <w:p w14:paraId="16848003">
      <w:pPr>
        <w:spacing w:line="550" w:lineRule="atLeast"/>
        <w:ind w:firstLine="640"/>
        <w:rPr>
          <w:rFonts w:ascii="Times New Roman" w:hAnsi="Times New Roman" w:cs="Times New Roman"/>
        </w:rPr>
      </w:pPr>
      <w:r>
        <w:rPr>
          <w:rFonts w:ascii="Times New Roman" w:hAnsi="Times New Roman" w:cs="Times New Roman"/>
        </w:rPr>
        <w:t>（五）在评审过程中或接到举报发现有弄虚作假行为取消申报资格；</w:t>
      </w:r>
    </w:p>
    <w:p w14:paraId="764542F5">
      <w:pPr>
        <w:spacing w:line="550" w:lineRule="atLeast"/>
        <w:ind w:firstLine="640"/>
        <w:rPr>
          <w:rFonts w:ascii="Times New Roman" w:hAnsi="Times New Roman" w:cs="Times New Roman"/>
        </w:rPr>
      </w:pPr>
      <w:r>
        <w:rPr>
          <w:rFonts w:ascii="Times New Roman" w:hAnsi="Times New Roman" w:cs="Times New Roman"/>
        </w:rPr>
        <w:t>（六）近三年年均研发投入不低于300万元；</w:t>
      </w:r>
    </w:p>
    <w:p w14:paraId="53049A21">
      <w:pPr>
        <w:spacing w:line="550" w:lineRule="atLeast"/>
        <w:ind w:firstLine="640"/>
        <w:rPr>
          <w:rFonts w:ascii="Times New Roman" w:hAnsi="Times New Roman" w:cs="Times New Roman"/>
        </w:rPr>
      </w:pPr>
      <w:r>
        <w:rPr>
          <w:rFonts w:ascii="Times New Roman" w:hAnsi="Times New Roman" w:cs="Times New Roman"/>
        </w:rPr>
        <w:t>（七）申报企业近三年无不良信用记录佐证材料（如国家企业信用网数据）。</w:t>
      </w:r>
    </w:p>
    <w:p w14:paraId="2992A866">
      <w:pPr>
        <w:pStyle w:val="3"/>
        <w:keepNext w:val="0"/>
        <w:keepLines w:val="0"/>
        <w:spacing w:line="550" w:lineRule="atLeast"/>
        <w:ind w:firstLine="640"/>
        <w:rPr>
          <w:rFonts w:ascii="Times New Roman" w:hAnsi="Times New Roman" w:cs="Times New Roman"/>
        </w:rPr>
      </w:pPr>
      <w:r>
        <w:rPr>
          <w:rFonts w:ascii="Times New Roman" w:hAnsi="Times New Roman" w:cs="Times New Roman"/>
        </w:rPr>
        <w:t>二、品种和企业申报材料审核</w:t>
      </w:r>
    </w:p>
    <w:p w14:paraId="083B7424">
      <w:pPr>
        <w:spacing w:line="550" w:lineRule="atLeast"/>
        <w:ind w:firstLine="640"/>
        <w:rPr>
          <w:rFonts w:ascii="Times New Roman" w:hAnsi="Times New Roman" w:cs="Times New Roman"/>
        </w:rPr>
      </w:pPr>
      <w:r>
        <w:rPr>
          <w:rFonts w:ascii="Times New Roman" w:hAnsi="Times New Roman" w:cs="Times New Roman"/>
        </w:rPr>
        <w:t>（一）申报企业信誉资料，如入选国家种业阵型企业、国家高新技术企业、育繁推一体化企业等文件；</w:t>
      </w:r>
    </w:p>
    <w:p w14:paraId="1E57310A">
      <w:pPr>
        <w:spacing w:line="550" w:lineRule="atLeast"/>
        <w:ind w:firstLine="640"/>
        <w:rPr>
          <w:rFonts w:ascii="Times New Roman" w:hAnsi="Times New Roman" w:cs="Times New Roman"/>
        </w:rPr>
      </w:pPr>
      <w:r>
        <w:rPr>
          <w:rFonts w:ascii="Times New Roman" w:hAnsi="Times New Roman" w:cs="Times New Roman"/>
        </w:rPr>
        <w:t>（二）申报企业种子生产、加工情况证明；</w:t>
      </w:r>
    </w:p>
    <w:p w14:paraId="7F517583">
      <w:pPr>
        <w:spacing w:line="550" w:lineRule="atLeast"/>
        <w:ind w:firstLine="640"/>
        <w:rPr>
          <w:rFonts w:ascii="Times New Roman" w:hAnsi="Times New Roman" w:cs="Times New Roman"/>
        </w:rPr>
      </w:pPr>
      <w:r>
        <w:rPr>
          <w:rFonts w:ascii="Times New Roman" w:hAnsi="Times New Roman" w:cs="Times New Roman"/>
        </w:rPr>
        <w:t>（三）申报企业在省内的示范基地情况证明；</w:t>
      </w:r>
    </w:p>
    <w:p w14:paraId="75C7C777">
      <w:pPr>
        <w:spacing w:line="550" w:lineRule="atLeast"/>
        <w:ind w:firstLine="640"/>
        <w:rPr>
          <w:rFonts w:ascii="Times New Roman" w:hAnsi="Times New Roman" w:cs="Times New Roman"/>
        </w:rPr>
      </w:pPr>
      <w:r>
        <w:rPr>
          <w:rFonts w:ascii="Times New Roman" w:hAnsi="Times New Roman" w:cs="Times New Roman"/>
        </w:rPr>
        <w:t>（四）申报企业在省内科研基地证明；</w:t>
      </w:r>
    </w:p>
    <w:p w14:paraId="38ACBDF0">
      <w:pPr>
        <w:spacing w:line="550" w:lineRule="atLeast"/>
        <w:ind w:firstLine="640"/>
        <w:rPr>
          <w:rFonts w:ascii="Times New Roman" w:hAnsi="Times New Roman" w:cs="Times New Roman"/>
        </w:rPr>
      </w:pPr>
      <w:r>
        <w:rPr>
          <w:rFonts w:ascii="Times New Roman" w:hAnsi="Times New Roman" w:cs="Times New Roman"/>
        </w:rPr>
        <w:t>（五）种子到户销售台账；</w:t>
      </w:r>
    </w:p>
    <w:p w14:paraId="654527C9">
      <w:pPr>
        <w:spacing w:line="550" w:lineRule="atLeast"/>
        <w:ind w:firstLine="640"/>
        <w:rPr>
          <w:rFonts w:ascii="Times New Roman" w:hAnsi="Times New Roman" w:cs="Times New Roman"/>
        </w:rPr>
      </w:pPr>
      <w:r>
        <w:rPr>
          <w:rFonts w:ascii="Times New Roman" w:hAnsi="Times New Roman" w:cs="Times New Roman"/>
        </w:rPr>
        <w:t>（六）申报品种荣誉资料，如近三年入选国家优良品种目录、国家级主导品种及省级种业、水稻行业协会主推品种等证明；</w:t>
      </w:r>
    </w:p>
    <w:p w14:paraId="4AFC1466">
      <w:pPr>
        <w:spacing w:line="550" w:lineRule="atLeast"/>
        <w:ind w:firstLine="640"/>
        <w:rPr>
          <w:rFonts w:ascii="Times New Roman" w:hAnsi="Times New Roman" w:cs="Times New Roman"/>
        </w:rPr>
      </w:pPr>
      <w:r>
        <w:rPr>
          <w:rFonts w:ascii="Times New Roman" w:hAnsi="Times New Roman" w:cs="Times New Roman"/>
        </w:rPr>
        <w:t>（七）具有省级资质的第三方专业评估机构出具的申报品种2022—2024年在湖南省推广面积审计报告和研发投入等相关证明。亩用种量按该品种审定公告的亩用种量平均值核算。</w:t>
      </w:r>
    </w:p>
    <w:p w14:paraId="738749D9">
      <w:pPr>
        <w:pStyle w:val="3"/>
        <w:keepNext w:val="0"/>
        <w:keepLines w:val="0"/>
        <w:spacing w:line="550" w:lineRule="atLeast"/>
        <w:ind w:firstLine="640"/>
        <w:rPr>
          <w:rFonts w:ascii="Times New Roman" w:hAnsi="Times New Roman" w:cs="Times New Roman"/>
        </w:rPr>
      </w:pPr>
      <w:r>
        <w:rPr>
          <w:rFonts w:ascii="Times New Roman" w:hAnsi="Times New Roman" w:cs="Times New Roman"/>
        </w:rPr>
        <w:t>三、评分标准</w:t>
      </w:r>
    </w:p>
    <w:p w14:paraId="105DE6DD">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根据申报品种的品种表现、推广面积、荣誉、企业资质及能力、品种和企业信誉、项目建设内容与资金使用等实行综合打分，总分100分。（生产急需特定绿色水稻品种实行应补尽补的原则，不参与打分）</w:t>
      </w:r>
    </w:p>
    <w:p w14:paraId="229511BA">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（一）品种（68分）</w:t>
      </w:r>
    </w:p>
    <w:p w14:paraId="5C13C2C9">
      <w:pPr>
        <w:spacing w:line="550" w:lineRule="atLeast"/>
        <w:ind w:firstLine="640"/>
        <w:rPr>
          <w:rFonts w:ascii="Times New Roman" w:hAnsi="Times New Roman" w:cs="Times New Roman"/>
        </w:rPr>
      </w:pPr>
      <w:r>
        <w:rPr>
          <w:rFonts w:ascii="Times New Roman" w:hAnsi="Times New Roman" w:cs="Times New Roman"/>
        </w:rPr>
        <w:t>1.品种表现（20分）</w:t>
      </w:r>
    </w:p>
    <w:p w14:paraId="1F0B7730">
      <w:pPr>
        <w:spacing w:line="550" w:lineRule="atLeast"/>
        <w:ind w:firstLine="640"/>
        <w:rPr>
          <w:rFonts w:ascii="Times New Roman" w:hAnsi="Times New Roman" w:cs="Times New Roman"/>
          <w:kern w:val="0"/>
          <w:szCs w:val="32"/>
        </w:rPr>
      </w:pPr>
      <w:r>
        <w:rPr>
          <w:rFonts w:ascii="Times New Roman" w:hAnsi="Times New Roman" w:cs="Times New Roman"/>
        </w:rPr>
        <w:t>1.1早稻</w:t>
      </w:r>
    </w:p>
    <w:p w14:paraId="6B449821">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产量：总分10分（区试增产&gt;8%计10分，增产</w:t>
      </w:r>
      <w:r>
        <w:rPr>
          <w:rFonts w:hint="eastAsia" w:ascii="Times New Roman" w:hAnsi="Times New Roman" w:cs="Times New Roman"/>
          <w:kern w:val="0"/>
          <w:szCs w:val="32"/>
          <w:lang w:eastAsia="zh-CN"/>
        </w:rPr>
        <w:t>5%-8%</w:t>
      </w:r>
      <w:r>
        <w:rPr>
          <w:rFonts w:ascii="Times New Roman" w:hAnsi="Times New Roman" w:cs="Times New Roman"/>
          <w:kern w:val="0"/>
          <w:szCs w:val="32"/>
        </w:rPr>
        <w:t>计6分；增产</w:t>
      </w:r>
      <w:r>
        <w:rPr>
          <w:rFonts w:hint="eastAsia" w:ascii="Times New Roman" w:hAnsi="Times New Roman" w:cs="Times New Roman"/>
          <w:kern w:val="0"/>
          <w:szCs w:val="32"/>
          <w:lang w:eastAsia="zh-CN"/>
        </w:rPr>
        <w:t>3%-5%</w:t>
      </w:r>
      <w:r>
        <w:rPr>
          <w:rFonts w:ascii="Times New Roman" w:hAnsi="Times New Roman" w:cs="Times New Roman"/>
          <w:kern w:val="0"/>
          <w:szCs w:val="32"/>
        </w:rPr>
        <w:t>计4分；增产0-3%计2分）。</w:t>
      </w:r>
    </w:p>
    <w:p w14:paraId="3F346BCE">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米质总分4分（湖南省二等以上优质稻或区试部优2等计4分；湖南省三等以上优质稻或区试部优3等计2分）。</w:t>
      </w:r>
    </w:p>
    <w:p w14:paraId="1FA19C15">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稻瘟病抗性总分计6分（品种稻瘟病综合指数&lt;2.0的计6分，综合指数&lt;4.0的计4分，综合指数≤5.0的计2分）。</w:t>
      </w:r>
    </w:p>
    <w:p w14:paraId="3C1AFD12">
      <w:pPr>
        <w:spacing w:line="550" w:lineRule="atLeast"/>
        <w:ind w:firstLine="640"/>
        <w:rPr>
          <w:rFonts w:ascii="Times New Roman" w:hAnsi="Times New Roman" w:cs="Times New Roman"/>
        </w:rPr>
      </w:pPr>
      <w:r>
        <w:rPr>
          <w:rFonts w:ascii="Times New Roman" w:hAnsi="Times New Roman" w:cs="Times New Roman"/>
        </w:rPr>
        <w:t>1.2中稻</w:t>
      </w:r>
    </w:p>
    <w:p w14:paraId="79606A41">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产量：总分8分（区试增产&gt;5%计8分</w:t>
      </w:r>
      <w:r>
        <w:rPr>
          <w:rFonts w:hint="eastAsia" w:ascii="Times New Roman" w:hAnsi="Times New Roman" w:cs="Times New Roman"/>
          <w:kern w:val="0"/>
          <w:szCs w:val="32"/>
          <w:lang w:eastAsia="zh-CN"/>
        </w:rPr>
        <w:t>，</w:t>
      </w:r>
      <w:r>
        <w:rPr>
          <w:rFonts w:ascii="Times New Roman" w:hAnsi="Times New Roman" w:cs="Times New Roman"/>
          <w:kern w:val="0"/>
          <w:szCs w:val="32"/>
        </w:rPr>
        <w:t>增产</w:t>
      </w:r>
      <w:r>
        <w:rPr>
          <w:rFonts w:hint="eastAsia" w:ascii="Times New Roman" w:hAnsi="Times New Roman" w:cs="Times New Roman"/>
          <w:kern w:val="0"/>
          <w:szCs w:val="32"/>
          <w:lang w:eastAsia="zh-CN"/>
        </w:rPr>
        <w:t>3%-5%</w:t>
      </w:r>
      <w:r>
        <w:rPr>
          <w:rFonts w:ascii="Times New Roman" w:hAnsi="Times New Roman" w:cs="Times New Roman"/>
          <w:kern w:val="0"/>
          <w:szCs w:val="32"/>
        </w:rPr>
        <w:t>计6分；增产0-3%计4分；减产&lt;3%计2分）。</w:t>
      </w:r>
    </w:p>
    <w:p w14:paraId="0567A53D">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米质总分6分（湖南省评二等以上优质稻或区试部优2等以上计6分；湖南省评三等以上优质稻或区试部优3等计4分）。</w:t>
      </w:r>
    </w:p>
    <w:p w14:paraId="268BFC34">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稻瘟病抗性总分计6分（品种稻瘟病综合指数&lt;2.0的计6分，综合指数&lt;3.0的计4分，综合指数≤4.0的计2分）。</w:t>
      </w:r>
    </w:p>
    <w:p w14:paraId="010A9646">
      <w:pPr>
        <w:spacing w:line="550" w:lineRule="atLeast"/>
        <w:ind w:firstLine="640"/>
        <w:rPr>
          <w:rFonts w:ascii="Times New Roman" w:hAnsi="Times New Roman" w:cs="Times New Roman"/>
        </w:rPr>
      </w:pPr>
      <w:r>
        <w:rPr>
          <w:rFonts w:ascii="Times New Roman" w:hAnsi="Times New Roman" w:cs="Times New Roman"/>
        </w:rPr>
        <w:t>1.3晚稻</w:t>
      </w:r>
    </w:p>
    <w:p w14:paraId="7FD6542F">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产量：总分8分（区试增产&gt;5%计8分</w:t>
      </w:r>
      <w:r>
        <w:rPr>
          <w:rFonts w:hint="eastAsia" w:ascii="Times New Roman" w:hAnsi="Times New Roman" w:cs="Times New Roman"/>
          <w:kern w:val="0"/>
          <w:szCs w:val="32"/>
          <w:lang w:eastAsia="zh-CN"/>
        </w:rPr>
        <w:t>，</w:t>
      </w:r>
      <w:r>
        <w:rPr>
          <w:rFonts w:ascii="Times New Roman" w:hAnsi="Times New Roman" w:cs="Times New Roman"/>
          <w:kern w:val="0"/>
          <w:szCs w:val="32"/>
        </w:rPr>
        <w:t>增产</w:t>
      </w:r>
      <w:r>
        <w:rPr>
          <w:rFonts w:hint="eastAsia" w:ascii="Times New Roman" w:hAnsi="Times New Roman" w:cs="Times New Roman"/>
          <w:kern w:val="0"/>
          <w:szCs w:val="32"/>
          <w:lang w:eastAsia="zh-CN"/>
        </w:rPr>
        <w:t>3%-5%</w:t>
      </w:r>
      <w:r>
        <w:rPr>
          <w:rFonts w:ascii="Times New Roman" w:hAnsi="Times New Roman" w:cs="Times New Roman"/>
          <w:kern w:val="0"/>
          <w:szCs w:val="32"/>
        </w:rPr>
        <w:t>计6分；增产0-3%计4分；减产&lt;3%计2分）。</w:t>
      </w:r>
    </w:p>
    <w:p w14:paraId="44A22949">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米质总分6分（湖南省评一等以上优质稻或区试部优1等以上计6分；湖南省评二等以上优质稻或区试部优2等计4分）。</w:t>
      </w:r>
    </w:p>
    <w:p w14:paraId="0AD68B37">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稻瘟病抗性总分计6分（品种稻瘟病综合指数&lt;2.0的计6分，综合指数&lt;4.0的计4分，综合指数≤5.0的计2分）。</w:t>
      </w:r>
    </w:p>
    <w:p w14:paraId="1B583162">
      <w:pPr>
        <w:spacing w:line="550" w:lineRule="atLeast"/>
        <w:ind w:firstLine="640"/>
        <w:rPr>
          <w:rFonts w:ascii="Times New Roman" w:hAnsi="Times New Roman" w:cs="Times New Roman"/>
        </w:rPr>
      </w:pPr>
      <w:r>
        <w:rPr>
          <w:rFonts w:ascii="Times New Roman" w:hAnsi="Times New Roman" w:cs="Times New Roman"/>
        </w:rPr>
        <w:t>2.推广面积（30分）</w:t>
      </w:r>
    </w:p>
    <w:p w14:paraId="783140CC">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省级种业管理部门2023年推广面积排名计10分，2022-2024年在本省年均推广面积计10分，2024年在本省新增推广面积计10分。</w:t>
      </w:r>
    </w:p>
    <w:p w14:paraId="69273D69">
      <w:pPr>
        <w:spacing w:line="550" w:lineRule="atLeast"/>
        <w:ind w:firstLine="640"/>
        <w:rPr>
          <w:rFonts w:ascii="Times New Roman" w:hAnsi="Times New Roman" w:cs="Times New Roman"/>
        </w:rPr>
      </w:pPr>
      <w:r>
        <w:rPr>
          <w:rFonts w:ascii="Times New Roman" w:hAnsi="Times New Roman" w:cs="Times New Roman"/>
        </w:rPr>
        <w:t>3.品种示范（6分）（示范基地合同以及示范经费安排证明）</w:t>
      </w:r>
    </w:p>
    <w:p w14:paraId="664962BB">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在省内有≥10个百亩示范片计6分，在省内有7-9个百亩示范片计3分，在省内有5-6个百亩示范片计1分。</w:t>
      </w:r>
    </w:p>
    <w:p w14:paraId="740B9BEE">
      <w:pPr>
        <w:spacing w:line="550" w:lineRule="atLeast"/>
        <w:ind w:firstLine="640"/>
        <w:rPr>
          <w:rFonts w:ascii="Times New Roman" w:hAnsi="Times New Roman" w:cs="Times New Roman"/>
        </w:rPr>
      </w:pPr>
      <w:r>
        <w:rPr>
          <w:rFonts w:ascii="Times New Roman" w:hAnsi="Times New Roman" w:cs="Times New Roman"/>
        </w:rPr>
        <w:t>4.种子生产基地（6分）（生产合同、种子产地检疫证明和仓库、设备购置证明）</w:t>
      </w:r>
    </w:p>
    <w:p w14:paraId="2E63B3DF">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上年度省内种子生产面积≥3000亩计6分，省内种子生产面积2000-3000亩计3分，省内种子生产面积1000-2000亩计1分。</w:t>
      </w:r>
    </w:p>
    <w:p w14:paraId="3D9AA860">
      <w:pPr>
        <w:spacing w:line="550" w:lineRule="atLeast"/>
        <w:ind w:firstLine="640"/>
        <w:rPr>
          <w:rFonts w:ascii="Times New Roman" w:hAnsi="Times New Roman" w:cs="Times New Roman"/>
        </w:rPr>
      </w:pPr>
      <w:r>
        <w:rPr>
          <w:rFonts w:ascii="Times New Roman" w:hAnsi="Times New Roman" w:cs="Times New Roman"/>
        </w:rPr>
        <w:t>5.品种荣誉（6分）</w:t>
      </w:r>
    </w:p>
    <w:p w14:paraId="328E1F4B">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入选国家优良品种目录或国家主导品种或全国优质稻金奖或农业农村部认定的超级稻品种计6分，省评优质稻品种或省级种业与水稻行业协会主推品种计4分。</w:t>
      </w:r>
    </w:p>
    <w:p w14:paraId="014B4607">
      <w:pPr>
        <w:spacing w:line="550" w:lineRule="atLeast"/>
        <w:ind w:firstLine="640"/>
        <w:rPr>
          <w:rFonts w:ascii="Times New Roman" w:hAnsi="Times New Roman" w:cs="Times New Roman"/>
        </w:rPr>
      </w:pPr>
      <w:r>
        <w:rPr>
          <w:rFonts w:ascii="Times New Roman" w:hAnsi="Times New Roman" w:cs="Times New Roman"/>
        </w:rPr>
        <w:t>（二）企业资质及荣誉（22分）</w:t>
      </w:r>
    </w:p>
    <w:p w14:paraId="0145B0CB">
      <w:pPr>
        <w:spacing w:line="550" w:lineRule="atLeast"/>
        <w:ind w:firstLine="640"/>
        <w:rPr>
          <w:rFonts w:ascii="Times New Roman" w:hAnsi="Times New Roman" w:cs="Times New Roman"/>
        </w:rPr>
      </w:pPr>
      <w:r>
        <w:rPr>
          <w:rFonts w:ascii="Times New Roman" w:hAnsi="Times New Roman" w:cs="Times New Roman"/>
        </w:rPr>
        <w:t>1.企业信誉（6分）</w:t>
      </w:r>
    </w:p>
    <w:p w14:paraId="04D1EA65">
      <w:pPr>
        <w:spacing w:line="550" w:lineRule="atLeast"/>
        <w:ind w:firstLine="640"/>
        <w:rPr>
          <w:rFonts w:ascii="Times New Roman" w:hAnsi="Times New Roman" w:cs="Times New Roman"/>
          <w:spacing w:val="-11"/>
          <w:kern w:val="0"/>
          <w:szCs w:val="32"/>
        </w:rPr>
      </w:pPr>
      <w:r>
        <w:rPr>
          <w:rFonts w:ascii="Times New Roman" w:hAnsi="Times New Roman" w:cs="Times New Roman"/>
          <w:spacing w:val="-11"/>
          <w:kern w:val="0"/>
          <w:szCs w:val="32"/>
        </w:rPr>
        <w:t>国家种业阵型企业或育繁推一体化企业或高新技术企业计6分。</w:t>
      </w:r>
    </w:p>
    <w:p w14:paraId="2AC7589C">
      <w:pPr>
        <w:spacing w:line="550" w:lineRule="atLeast"/>
        <w:ind w:firstLine="640"/>
        <w:rPr>
          <w:rFonts w:ascii="Times New Roman" w:hAnsi="Times New Roman" w:cs="Times New Roman"/>
        </w:rPr>
      </w:pPr>
      <w:r>
        <w:rPr>
          <w:rFonts w:ascii="Times New Roman" w:hAnsi="Times New Roman" w:cs="Times New Roman"/>
        </w:rPr>
        <w:t>2.生产加工能力（有成套种子加工包装设备）（6分）</w:t>
      </w:r>
    </w:p>
    <w:p w14:paraId="78E6233B">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加工能力≥10吨/小时计6分，加工能力≥8吨/小时计5分，加工能力≥5吨/小时计4分，加工能力≤5吨/小时计2分（生产合同、种子产地检疫证明和仓库、设备购置证明）。</w:t>
      </w:r>
    </w:p>
    <w:p w14:paraId="47E6970C">
      <w:pPr>
        <w:spacing w:line="550" w:lineRule="atLeast"/>
        <w:ind w:firstLine="640"/>
        <w:rPr>
          <w:rFonts w:ascii="Times New Roman" w:hAnsi="Times New Roman" w:cs="Times New Roman"/>
        </w:rPr>
      </w:pPr>
      <w:r>
        <w:rPr>
          <w:rFonts w:ascii="Times New Roman" w:hAnsi="Times New Roman" w:cs="Times New Roman"/>
        </w:rPr>
        <w:t>3.在省内研发能力（10分）（土地流转或购置合同及经费支出证明）</w:t>
      </w:r>
    </w:p>
    <w:p w14:paraId="08BC13D3">
      <w:pPr>
        <w:spacing w:line="550" w:lineRule="atLeast"/>
        <w:ind w:firstLine="608"/>
        <w:rPr>
          <w:rFonts w:ascii="Times New Roman" w:hAnsi="Times New Roman" w:cs="Times New Roman"/>
          <w:spacing w:val="-8"/>
          <w:kern w:val="0"/>
          <w:szCs w:val="32"/>
        </w:rPr>
      </w:pPr>
      <w:r>
        <w:rPr>
          <w:rFonts w:ascii="Times New Roman" w:hAnsi="Times New Roman" w:cs="Times New Roman"/>
          <w:spacing w:val="-8"/>
          <w:kern w:val="0"/>
          <w:szCs w:val="32"/>
        </w:rPr>
        <w:t>科研基地面积≥500亩计10分；科研基地面积200-500亩计6分、科研基地面积100-200亩计4分，科研基地面积&lt;100亩计2分。</w:t>
      </w:r>
    </w:p>
    <w:p w14:paraId="47B149DF">
      <w:pPr>
        <w:spacing w:line="550" w:lineRule="atLeast"/>
        <w:ind w:firstLine="640"/>
        <w:rPr>
          <w:rFonts w:ascii="Times New Roman" w:hAnsi="Times New Roman" w:cs="Times New Roman"/>
        </w:rPr>
      </w:pPr>
      <w:r>
        <w:rPr>
          <w:rFonts w:ascii="Times New Roman" w:hAnsi="Times New Roman" w:cs="Times New Roman"/>
        </w:rPr>
        <w:t>（三）建设内容与资金使用方向（10分）</w:t>
      </w:r>
    </w:p>
    <w:p w14:paraId="498BC1EA">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完全符合计10分，基本符合计6分。</w:t>
      </w:r>
    </w:p>
    <w:p w14:paraId="0A070DE6">
      <w:pPr>
        <w:pStyle w:val="3"/>
        <w:keepNext w:val="0"/>
        <w:keepLines w:val="0"/>
        <w:spacing w:line="550" w:lineRule="atLeast"/>
        <w:ind w:firstLine="640"/>
        <w:rPr>
          <w:rFonts w:ascii="Times New Roman" w:hAnsi="Times New Roman" w:cs="Times New Roman"/>
        </w:rPr>
      </w:pPr>
      <w:r>
        <w:rPr>
          <w:rFonts w:ascii="Times New Roman" w:hAnsi="Times New Roman" w:eastAsia="仿宋_GB2312" w:cs="Times New Roman"/>
          <w:kern w:val="0"/>
        </w:rPr>
        <w:t xml:space="preserve"> </w:t>
      </w:r>
      <w:r>
        <w:rPr>
          <w:rFonts w:ascii="Times New Roman" w:hAnsi="Times New Roman" w:cs="Times New Roman"/>
        </w:rPr>
        <w:t>四、评选程序</w:t>
      </w:r>
    </w:p>
    <w:p w14:paraId="73BEEB2A">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一）企业自愿向相关县市区农业农村局申报。县级农业农村、财政部门按照项目实施方案要求，要对企业和品种的资质条件进行严格把关，向市州农业农村、财政部门推荐申报品种和企业；市州农业农村、财政部门进行严格审核，向省农业农村厅推荐符合条件的品种和企业。</w:t>
      </w:r>
    </w:p>
    <w:p w14:paraId="0D6409BC">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（二）省农业农村厅组织专家按照评选标准进行评分，以总得分从高到低的顺序进行依次推荐，形成专家评审意见，商省财政厅后遴选出受补助品种和企业。厅纪检部门全程监督。</w:t>
      </w:r>
    </w:p>
    <w:p w14:paraId="15B2543A">
      <w:pPr>
        <w:spacing w:line="550" w:lineRule="atLeast"/>
        <w:ind w:firstLine="640"/>
        <w:rPr>
          <w:rFonts w:ascii="Times New Roman" w:hAnsi="Times New Roman" w:cs="Times New Roman"/>
          <w:kern w:val="0"/>
          <w:szCs w:val="32"/>
        </w:rPr>
      </w:pPr>
      <w:r>
        <w:rPr>
          <w:rFonts w:ascii="Times New Roman" w:hAnsi="Times New Roman" w:cs="Times New Roman"/>
          <w:kern w:val="0"/>
          <w:szCs w:val="32"/>
        </w:rPr>
        <w:t>（三）遴选结果报农业农村部进行备案后，省农业农村厅将遴选情况对社会进行公示，接受社会监督。</w:t>
      </w:r>
    </w:p>
    <w:p w14:paraId="2E406337">
      <w:pPr>
        <w:spacing w:line="550" w:lineRule="atLeast"/>
        <w:ind w:firstLine="616"/>
        <w:rPr>
          <w:rFonts w:hint="eastAsia" w:ascii="Times New Roman" w:hAnsi="Times New Roman" w:cs="Times New Roman"/>
          <w:spacing w:val="-6"/>
          <w:kern w:val="0"/>
          <w:szCs w:val="32"/>
        </w:rPr>
      </w:pPr>
    </w:p>
    <w:p w14:paraId="698CDDD2">
      <w:pPr>
        <w:spacing w:line="550" w:lineRule="atLeast"/>
        <w:ind w:firstLine="616"/>
        <w:rPr>
          <w:rFonts w:hint="eastAsia" w:ascii="Times New Roman" w:hAnsi="Times New Roman" w:cs="Times New Roman"/>
          <w:spacing w:val="-6"/>
          <w:kern w:val="0"/>
          <w:szCs w:val="32"/>
        </w:rPr>
      </w:pPr>
    </w:p>
    <w:p w14:paraId="46559900">
      <w:pPr>
        <w:spacing w:line="550" w:lineRule="atLeast"/>
        <w:ind w:firstLine="616"/>
        <w:rPr>
          <w:rFonts w:hint="eastAsia" w:ascii="Times New Roman" w:hAnsi="Times New Roman" w:cs="Times New Roman"/>
          <w:spacing w:val="-6"/>
          <w:kern w:val="0"/>
          <w:szCs w:val="32"/>
        </w:rPr>
      </w:pPr>
    </w:p>
    <w:p w14:paraId="57D3D3BD">
      <w:pPr>
        <w:spacing w:line="550" w:lineRule="atLeast"/>
        <w:ind w:firstLine="616"/>
        <w:rPr>
          <w:rFonts w:hint="eastAsia" w:ascii="Times New Roman" w:hAnsi="Times New Roman" w:cs="Times New Roman"/>
          <w:spacing w:val="-6"/>
          <w:kern w:val="0"/>
          <w:szCs w:val="32"/>
        </w:rPr>
      </w:pPr>
    </w:p>
    <w:p w14:paraId="5CFDE7F3">
      <w:pPr>
        <w:pStyle w:val="3"/>
        <w:ind w:firstLine="0" w:firstLineChars="0"/>
        <w:rPr>
          <w:rFonts w:ascii="Times New Roman" w:hAnsi="Times New Roman" w:cs="Times New Roman"/>
        </w:rPr>
      </w:pPr>
      <w:r>
        <w:rPr>
          <w:rFonts w:ascii="Times New Roman" w:hAnsi="Times New Roman" w:cs="Times New Roman"/>
        </w:rPr>
        <w:t>附件</w:t>
      </w:r>
      <w:r>
        <w:rPr>
          <w:rFonts w:hint="eastAsia" w:ascii="Times New Roman" w:hAnsi="Times New Roman" w:cs="Times New Roman"/>
        </w:rPr>
        <w:t>2</w:t>
      </w:r>
    </w:p>
    <w:p w14:paraId="6143DE58">
      <w:pPr>
        <w:pStyle w:val="2"/>
        <w:spacing w:line="700" w:lineRule="exact"/>
        <w:rPr>
          <w:rFonts w:ascii="Times New Roman" w:hAnsi="Times New Roman" w:cs="Times New Roman"/>
        </w:rPr>
      </w:pPr>
      <w:r>
        <w:rPr>
          <w:rFonts w:ascii="Times New Roman" w:hAnsi="Times New Roman" w:cs="Times New Roman"/>
        </w:rPr>
        <w:t>2024年湖南省重大品种研发推广应用</w:t>
      </w:r>
    </w:p>
    <w:p w14:paraId="343F6527">
      <w:pPr>
        <w:pStyle w:val="2"/>
        <w:spacing w:line="700" w:lineRule="exact"/>
        <w:rPr>
          <w:rFonts w:ascii="Times New Roman" w:hAnsi="Times New Roman" w:cs="Times New Roman"/>
        </w:rPr>
      </w:pPr>
      <w:r>
        <w:rPr>
          <w:rFonts w:ascii="Times New Roman" w:hAnsi="Times New Roman" w:cs="Times New Roman"/>
        </w:rPr>
        <w:t>一体化试点油菜遴选方案</w:t>
      </w:r>
    </w:p>
    <w:p w14:paraId="4521CBF4">
      <w:pPr>
        <w:spacing w:line="580" w:lineRule="exact"/>
        <w:ind w:firstLine="640"/>
        <w:rPr>
          <w:rFonts w:ascii="Times New Roman" w:hAnsi="Times New Roman" w:cs="Times New Roman"/>
        </w:rPr>
      </w:pPr>
      <w:r>
        <w:rPr>
          <w:rFonts w:ascii="Times New Roman" w:hAnsi="Times New Roman" w:cs="Times New Roman"/>
        </w:rPr>
        <w:t xml:space="preserve"> </w:t>
      </w:r>
    </w:p>
    <w:p w14:paraId="47BF4BF4">
      <w:pPr>
        <w:spacing w:line="580" w:lineRule="exact"/>
        <w:ind w:firstLine="640"/>
        <w:rPr>
          <w:rFonts w:ascii="Times New Roman" w:hAnsi="Times New Roman" w:cs="Times New Roman"/>
        </w:rPr>
      </w:pPr>
      <w:r>
        <w:rPr>
          <w:rFonts w:ascii="Times New Roman" w:hAnsi="Times New Roman" w:cs="Times New Roman"/>
        </w:rPr>
        <w:t xml:space="preserve">为加大我省油菜优良品种的推广力度，充分发挥优良品种在促进油菜产业发展和农民增收中的重要作用，按照湖南省农业农村厅《2024年湖南省重大品种研发推广应用一体化试点实施方案》要求，遴选优质高产油菜≤8个，短生育期油菜≤4个品种进行推广补助。参照各品种2023—2024年的推广面积，对2024—2025年新增推广面积进行补助，补助标准每亩不超过30元，单品种年补助金额不超过500万元，资金补助总量为3000万元，一次性实施补助。遴选方案制定如下： </w:t>
      </w:r>
    </w:p>
    <w:p w14:paraId="58295FE9">
      <w:pPr>
        <w:pStyle w:val="3"/>
        <w:keepNext w:val="0"/>
        <w:keepLines w:val="0"/>
        <w:spacing w:line="580" w:lineRule="exact"/>
        <w:ind w:firstLine="640"/>
        <w:rPr>
          <w:rFonts w:ascii="Times New Roman" w:hAnsi="Times New Roman" w:cs="Times New Roman"/>
        </w:rPr>
      </w:pPr>
      <w:r>
        <w:rPr>
          <w:rFonts w:ascii="Times New Roman" w:hAnsi="Times New Roman" w:cs="Times New Roman"/>
        </w:rPr>
        <w:t>一、品种和企业资质审查</w:t>
      </w:r>
    </w:p>
    <w:p w14:paraId="65185F04">
      <w:pPr>
        <w:spacing w:line="580" w:lineRule="exact"/>
        <w:ind w:firstLine="640"/>
        <w:rPr>
          <w:rFonts w:ascii="Times New Roman" w:hAnsi="Times New Roman" w:cs="Times New Roman"/>
        </w:rPr>
      </w:pPr>
      <w:r>
        <w:rPr>
          <w:rFonts w:ascii="Times New Roman" w:hAnsi="Times New Roman" w:cs="Times New Roman"/>
        </w:rPr>
        <w:t>（一）申报企业的营业执照、生产经营许可证，联合申报单位法定代表人证书。</w:t>
      </w:r>
    </w:p>
    <w:p w14:paraId="167963D1">
      <w:pPr>
        <w:spacing w:line="580" w:lineRule="exact"/>
        <w:ind w:firstLine="640"/>
        <w:rPr>
          <w:rFonts w:ascii="Times New Roman" w:hAnsi="Times New Roman" w:cs="Times New Roman"/>
        </w:rPr>
      </w:pPr>
      <w:r>
        <w:rPr>
          <w:rFonts w:ascii="Times New Roman" w:hAnsi="Times New Roman" w:cs="Times New Roman"/>
        </w:rPr>
        <w:t>（二）申报品种的登记证书、农业农村部品种登记公告（公告首页和本品种部分）。</w:t>
      </w:r>
    </w:p>
    <w:p w14:paraId="0BAF768F">
      <w:pPr>
        <w:spacing w:line="580" w:lineRule="exact"/>
        <w:ind w:firstLine="616"/>
        <w:rPr>
          <w:rFonts w:ascii="Times New Roman" w:hAnsi="Times New Roman" w:cs="Times New Roman"/>
          <w:spacing w:val="-6"/>
        </w:rPr>
      </w:pPr>
      <w:r>
        <w:rPr>
          <w:rFonts w:ascii="Times New Roman" w:hAnsi="Times New Roman" w:cs="Times New Roman"/>
          <w:spacing w:val="-6"/>
        </w:rPr>
        <w:t>（三）申报企业如不是品种第一选育单位，须与第一选育单位联合申报，申报企业与品种选育单位（或个人）的合作申报协议。</w:t>
      </w:r>
    </w:p>
    <w:p w14:paraId="1B3E7788">
      <w:pPr>
        <w:spacing w:line="580" w:lineRule="exact"/>
        <w:ind w:firstLine="640"/>
        <w:rPr>
          <w:rFonts w:ascii="Times New Roman" w:hAnsi="Times New Roman" w:cs="Times New Roman"/>
        </w:rPr>
      </w:pPr>
      <w:r>
        <w:rPr>
          <w:rFonts w:ascii="Times New Roman" w:hAnsi="Times New Roman" w:cs="Times New Roman"/>
        </w:rPr>
        <w:t>（四）同一品种只能由1个企业进行申报，申报时间在前的优先。</w:t>
      </w:r>
    </w:p>
    <w:p w14:paraId="2A9CE8D3">
      <w:pPr>
        <w:spacing w:line="580" w:lineRule="exact"/>
        <w:ind w:firstLine="640"/>
        <w:rPr>
          <w:rFonts w:ascii="Times New Roman" w:hAnsi="Times New Roman" w:cs="Times New Roman"/>
        </w:rPr>
      </w:pPr>
      <w:r>
        <w:rPr>
          <w:rFonts w:ascii="Times New Roman" w:hAnsi="Times New Roman" w:cs="Times New Roman"/>
        </w:rPr>
        <w:t>（五）在评审过程中或接到举报发现有弄虚作假行为取消申报资格；</w:t>
      </w:r>
    </w:p>
    <w:p w14:paraId="419536D6">
      <w:pPr>
        <w:spacing w:line="580" w:lineRule="exact"/>
        <w:ind w:firstLine="640"/>
        <w:rPr>
          <w:rFonts w:ascii="Times New Roman" w:hAnsi="Times New Roman" w:cs="Times New Roman"/>
        </w:rPr>
      </w:pPr>
      <w:r>
        <w:rPr>
          <w:rFonts w:ascii="Times New Roman" w:hAnsi="Times New Roman" w:cs="Times New Roman"/>
        </w:rPr>
        <w:t>（六）近三年年均研发投入不低于100万元；</w:t>
      </w:r>
    </w:p>
    <w:p w14:paraId="51AD267B">
      <w:pPr>
        <w:spacing w:line="580" w:lineRule="exact"/>
        <w:ind w:firstLine="640"/>
        <w:rPr>
          <w:rFonts w:ascii="Times New Roman" w:hAnsi="Times New Roman" w:cs="Times New Roman"/>
        </w:rPr>
      </w:pPr>
      <w:r>
        <w:rPr>
          <w:rFonts w:ascii="Times New Roman" w:hAnsi="Times New Roman" w:cs="Times New Roman"/>
        </w:rPr>
        <w:t>（七）申报企业近三年无不良信用记录佐证材料（如国家企业信用网数据）。</w:t>
      </w:r>
    </w:p>
    <w:p w14:paraId="2C265DC0">
      <w:pPr>
        <w:pStyle w:val="3"/>
        <w:keepNext w:val="0"/>
        <w:keepLines w:val="0"/>
        <w:spacing w:line="580" w:lineRule="exact"/>
        <w:ind w:firstLine="640"/>
        <w:rPr>
          <w:rFonts w:ascii="Times New Roman" w:hAnsi="Times New Roman" w:cs="Times New Roman"/>
        </w:rPr>
      </w:pPr>
      <w:r>
        <w:rPr>
          <w:rFonts w:ascii="Times New Roman" w:hAnsi="Times New Roman" w:cs="Times New Roman"/>
        </w:rPr>
        <w:t>二、品种和企业申报材料审核</w:t>
      </w:r>
    </w:p>
    <w:p w14:paraId="5E92E171">
      <w:pPr>
        <w:spacing w:line="580" w:lineRule="exact"/>
        <w:ind w:firstLine="616"/>
        <w:rPr>
          <w:rFonts w:ascii="Times New Roman" w:hAnsi="Times New Roman" w:cs="Times New Roman"/>
          <w:spacing w:val="-6"/>
        </w:rPr>
      </w:pPr>
      <w:r>
        <w:rPr>
          <w:rFonts w:ascii="Times New Roman" w:hAnsi="Times New Roman" w:cs="Times New Roman"/>
          <w:spacing w:val="-6"/>
        </w:rPr>
        <w:t>（一）申报企业信誉资料，如入选国家种业（油料）阵型企业、国家高新技术企业、育繁推一体化企业等文件；</w:t>
      </w:r>
    </w:p>
    <w:p w14:paraId="0E2EB153">
      <w:pPr>
        <w:spacing w:line="580" w:lineRule="exact"/>
        <w:ind w:firstLine="640"/>
        <w:rPr>
          <w:rFonts w:ascii="Times New Roman" w:hAnsi="Times New Roman" w:cs="Times New Roman"/>
        </w:rPr>
      </w:pPr>
      <w:r>
        <w:rPr>
          <w:rFonts w:ascii="Times New Roman" w:hAnsi="Times New Roman" w:cs="Times New Roman"/>
        </w:rPr>
        <w:t>（二）申报企业种子生产、加工情况证明；</w:t>
      </w:r>
    </w:p>
    <w:p w14:paraId="23B6B0A8">
      <w:pPr>
        <w:spacing w:line="580" w:lineRule="exact"/>
        <w:ind w:firstLine="640"/>
        <w:rPr>
          <w:rFonts w:ascii="Times New Roman" w:hAnsi="Times New Roman" w:cs="Times New Roman"/>
        </w:rPr>
      </w:pPr>
      <w:r>
        <w:rPr>
          <w:rFonts w:ascii="Times New Roman" w:hAnsi="Times New Roman" w:cs="Times New Roman"/>
        </w:rPr>
        <w:t>（三）申报企业在省内的示范基地情况证明；</w:t>
      </w:r>
    </w:p>
    <w:p w14:paraId="5C617D0C">
      <w:pPr>
        <w:spacing w:line="580" w:lineRule="exact"/>
        <w:ind w:firstLine="640"/>
        <w:rPr>
          <w:rFonts w:ascii="Times New Roman" w:hAnsi="Times New Roman" w:cs="Times New Roman"/>
        </w:rPr>
      </w:pPr>
      <w:r>
        <w:rPr>
          <w:rFonts w:ascii="Times New Roman" w:hAnsi="Times New Roman" w:cs="Times New Roman"/>
        </w:rPr>
        <w:t>（四）申报企业在省内科研基地证明；</w:t>
      </w:r>
    </w:p>
    <w:p w14:paraId="2BC58283">
      <w:pPr>
        <w:spacing w:line="580" w:lineRule="exact"/>
        <w:ind w:firstLine="640"/>
        <w:rPr>
          <w:rFonts w:ascii="Times New Roman" w:hAnsi="Times New Roman" w:cs="Times New Roman"/>
        </w:rPr>
      </w:pPr>
      <w:r>
        <w:rPr>
          <w:rFonts w:ascii="Times New Roman" w:hAnsi="Times New Roman" w:cs="Times New Roman"/>
        </w:rPr>
        <w:t>（五）种子到户销售台账；</w:t>
      </w:r>
    </w:p>
    <w:p w14:paraId="318FAC96">
      <w:pPr>
        <w:spacing w:line="580" w:lineRule="exact"/>
        <w:ind w:firstLine="640"/>
        <w:rPr>
          <w:rFonts w:ascii="Times New Roman" w:hAnsi="Times New Roman" w:cs="Times New Roman"/>
        </w:rPr>
      </w:pPr>
      <w:r>
        <w:rPr>
          <w:rFonts w:ascii="Times New Roman" w:hAnsi="Times New Roman" w:cs="Times New Roman"/>
        </w:rPr>
        <w:t>（六）申报品种信誉资料，如近三年入选国家优良品种目录、国家级主导品种及省级种业、油菜行业协会主推品种等证明；</w:t>
      </w:r>
    </w:p>
    <w:p w14:paraId="5F7D2871">
      <w:pPr>
        <w:spacing w:line="580" w:lineRule="exact"/>
        <w:ind w:firstLine="640"/>
        <w:rPr>
          <w:rFonts w:ascii="Times New Roman" w:hAnsi="Times New Roman" w:cs="Times New Roman"/>
        </w:rPr>
      </w:pPr>
      <w:r>
        <w:rPr>
          <w:rFonts w:ascii="Times New Roman" w:hAnsi="Times New Roman" w:cs="Times New Roman"/>
        </w:rPr>
        <w:t>（七）具有省级资质的第三方专业评估机构出具的申报品种2022-2024年在湖南省分年度种子销量审计报告和研发投入等相关证明，并按全国农技推广中心发布的2021年油菜杂交种亩用种量0.21公斤、常规种0.25公斤为统一标准进行折算推广面积。</w:t>
      </w:r>
    </w:p>
    <w:p w14:paraId="7B898A13">
      <w:pPr>
        <w:pStyle w:val="3"/>
        <w:keepNext w:val="0"/>
        <w:keepLines w:val="0"/>
        <w:spacing w:line="580" w:lineRule="exact"/>
        <w:ind w:firstLine="640"/>
        <w:rPr>
          <w:rFonts w:ascii="Times New Roman" w:hAnsi="Times New Roman" w:cs="Times New Roman"/>
        </w:rPr>
      </w:pPr>
      <w:r>
        <w:rPr>
          <w:rFonts w:ascii="Times New Roman" w:hAnsi="Times New Roman" w:cs="Times New Roman"/>
        </w:rPr>
        <w:t>三、评分标准</w:t>
      </w:r>
    </w:p>
    <w:p w14:paraId="09DE7CB5">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根据申报品种的品种表现、推广面积、企业资质及能力、品种和企业信誉、项目建设内容与资金使用等实行综合打分，总分100分。</w:t>
      </w:r>
    </w:p>
    <w:p w14:paraId="69C0494D">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（一）品种表现</w:t>
      </w:r>
    </w:p>
    <w:p w14:paraId="67914B41">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1.高产高油品种（17分）</w:t>
      </w:r>
    </w:p>
    <w:p w14:paraId="4F8A9802">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产量占10分、含油量占7分。</w:t>
      </w:r>
    </w:p>
    <w:p w14:paraId="660EAFF3">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2.短生育期品种（27分）</w:t>
      </w:r>
    </w:p>
    <w:p w14:paraId="68F7A753">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生育期占10分，产量占10分，含油量占7分。</w:t>
      </w:r>
    </w:p>
    <w:p w14:paraId="7668286E">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（二）推广面积</w:t>
      </w:r>
    </w:p>
    <w:p w14:paraId="5A838C2F">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1.高产高油品种（30分）</w:t>
      </w:r>
    </w:p>
    <w:p w14:paraId="1ABC20AF">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2022-2024年在本省平均推广面积占10分，2024年比2023年在本省新增的推广面积占10分，省级种业管理部门2023年推广面积统计排名占10分。</w:t>
      </w:r>
    </w:p>
    <w:p w14:paraId="42000CCF">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2.短生育期品种（20分）</w:t>
      </w:r>
    </w:p>
    <w:p w14:paraId="6D2C2F9D">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2023年和2024年在本省推广面积各占10分。</w:t>
      </w:r>
    </w:p>
    <w:p w14:paraId="0AFD9084">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（三）申报书建设内容与资金使用方向（15分）</w:t>
      </w:r>
    </w:p>
    <w:p w14:paraId="7BF94512">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（四）品种和企业信誉（12分）</w:t>
      </w:r>
    </w:p>
    <w:p w14:paraId="2779C472">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品种和企业信誉各占6分。</w:t>
      </w:r>
    </w:p>
    <w:p w14:paraId="248859C2">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（五）申报企业资质和能力（26分）</w:t>
      </w:r>
    </w:p>
    <w:p w14:paraId="407F9669">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1.企业种子生产和加工能力占10分（生产合同、种子产地检疫证明和仓库、设备购置证明）；</w:t>
      </w:r>
    </w:p>
    <w:p w14:paraId="38C62BF2">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2.企业在省内的示范基地面积和数量占6分（示范基地合同以及示范经费安排证明）；</w:t>
      </w:r>
    </w:p>
    <w:p w14:paraId="21960F32">
      <w:pPr>
        <w:spacing w:line="580" w:lineRule="exact"/>
        <w:ind w:firstLine="640"/>
        <w:rPr>
          <w:kern w:val="0"/>
          <w:szCs w:val="32"/>
        </w:rPr>
        <w:sectPr>
          <w:headerReference r:id="rId7" w:type="first"/>
          <w:footerReference r:id="rId10" w:type="first"/>
          <w:headerReference r:id="rId5" w:type="default"/>
          <w:footerReference r:id="rId8" w:type="default"/>
          <w:headerReference r:id="rId6" w:type="even"/>
          <w:footerReference r:id="rId9" w:type="even"/>
          <w:pgSz w:w="11906" w:h="16838"/>
          <w:pgMar w:top="2098" w:right="1474" w:bottom="1985" w:left="1588" w:header="851" w:footer="1588" w:gutter="0"/>
          <w:cols w:space="720" w:num="1"/>
          <w:docGrid w:linePitch="579" w:charSpace="0"/>
        </w:sectPr>
      </w:pPr>
    </w:p>
    <w:p w14:paraId="546022D5">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3.企业在省内科研基地情况占10分（土地流转或购置合同及经费支出证明）。</w:t>
      </w:r>
    </w:p>
    <w:p w14:paraId="539E0231">
      <w:pPr>
        <w:pStyle w:val="3"/>
        <w:keepNext w:val="0"/>
        <w:keepLines w:val="0"/>
        <w:spacing w:line="580" w:lineRule="exact"/>
        <w:ind w:firstLine="640"/>
        <w:rPr>
          <w:rFonts w:ascii="Times New Roman" w:hAnsi="Times New Roman" w:cs="Times New Roman"/>
        </w:rPr>
      </w:pPr>
      <w:r>
        <w:rPr>
          <w:rFonts w:ascii="Times New Roman" w:hAnsi="Times New Roman" w:eastAsia="仿宋_GB2312" w:cs="Times New Roman"/>
          <w:bCs w:val="0"/>
          <w:kern w:val="0"/>
        </w:rPr>
        <w:t xml:space="preserve"> </w:t>
      </w:r>
      <w:r>
        <w:rPr>
          <w:rFonts w:ascii="Times New Roman" w:hAnsi="Times New Roman" w:cs="Times New Roman"/>
        </w:rPr>
        <w:t>四、评选程序</w:t>
      </w:r>
    </w:p>
    <w:p w14:paraId="0590DD5C">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（一）企业自愿向相关县市区农业农村局申报。县级农业农村、财政部门按照申报要求严格审核把关，并向市州推荐申报；市州农业农村、财政部门进行严格审核，向省农业农村厅推荐符合条件的品种和企业。</w:t>
      </w:r>
    </w:p>
    <w:p w14:paraId="30DED28A">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（二）省农业农村厅组织专家按照评选标准进行评分，以总得分从高到低的顺序进行依次推荐，形成专家评审意见，商省财政厅后遴选出受补助品种和企业。厅纪检部门全程监督。</w:t>
      </w:r>
    </w:p>
    <w:p w14:paraId="08BBFFAF">
      <w:pPr>
        <w:spacing w:line="580" w:lineRule="exact"/>
        <w:ind w:firstLine="640"/>
        <w:rPr>
          <w:rFonts w:ascii="Times New Roman" w:hAnsi="Times New Roman" w:cs="Times New Roman"/>
          <w:kern w:val="0"/>
          <w:szCs w:val="32"/>
        </w:rPr>
      </w:pPr>
      <w:r>
        <w:rPr>
          <w:rFonts w:ascii="Times New Roman" w:hAnsi="Times New Roman" w:cs="Times New Roman"/>
          <w:kern w:val="0"/>
          <w:szCs w:val="32"/>
        </w:rPr>
        <w:t>（三）遴选结果报农业农村部进行备案后，省农业农村厅将遴选情况对社会进行公示，接受社会监督。</w:t>
      </w:r>
    </w:p>
    <w:p w14:paraId="045BF5B5">
      <w:bookmarkStart w:id="0" w:name="_GoBack"/>
      <w:bookmarkEnd w:id="0"/>
    </w:p>
    <w:sectPr>
      <w:pgSz w:w="11906" w:h="16838"/>
      <w:pgMar w:top="2098" w:right="1474" w:bottom="1984"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48AD9">
    <w:pPr>
      <w:pStyle w:val="4"/>
      <w:framePr w:wrap="around" w:vAnchor="text" w:hAnchor="margin" w:xAlign="outside" w:y="1"/>
      <w:ind w:firstLine="0" w:firstLineChars="0"/>
      <w:rPr>
        <w:rStyle w:val="8"/>
        <w:rFonts w:ascii="Times New Roman" w:hAnsi="Times New Roman" w:cs="Times New Roman"/>
        <w:sz w:val="28"/>
        <w:szCs w:val="28"/>
      </w:rPr>
    </w:pPr>
    <w:r>
      <w:rPr>
        <w:rStyle w:val="8"/>
        <w:rFonts w:ascii="Times New Roman" w:hAnsi="Times New Roman" w:cs="Times New Roman"/>
        <w:sz w:val="28"/>
        <w:szCs w:val="28"/>
      </w:rPr>
      <w:t>—</w:t>
    </w:r>
    <w:r>
      <w:rPr>
        <w:rFonts w:ascii="Times New Roman" w:hAnsi="Times New Roman" w:cs="Times New Roman"/>
        <w:sz w:val="28"/>
        <w:szCs w:val="28"/>
      </w:rPr>
      <w:fldChar w:fldCharType="begin"/>
    </w:r>
    <w:r>
      <w:rPr>
        <w:rStyle w:val="8"/>
        <w:rFonts w:ascii="Times New Roman" w:hAnsi="Times New Roman" w:cs="Times New Roman"/>
        <w:sz w:val="28"/>
        <w:szCs w:val="28"/>
      </w:rPr>
      <w:instrText xml:space="preserve">PAGE  </w:instrText>
    </w:r>
    <w:r>
      <w:rPr>
        <w:rFonts w:ascii="Times New Roman" w:hAnsi="Times New Roman" w:cs="Times New Roman"/>
        <w:sz w:val="28"/>
        <w:szCs w:val="28"/>
      </w:rPr>
      <w:fldChar w:fldCharType="separate"/>
    </w:r>
    <w:r>
      <w:rPr>
        <w:rStyle w:val="8"/>
        <w:rFonts w:ascii="Times New Roman" w:hAnsi="Times New Roman" w:cs="Times New Roman"/>
        <w:sz w:val="28"/>
        <w:szCs w:val="28"/>
      </w:rPr>
      <w:t>23</w:t>
    </w:r>
    <w:r>
      <w:rPr>
        <w:rFonts w:ascii="Times New Roman" w:hAnsi="Times New Roman" w:cs="Times New Roman"/>
        <w:sz w:val="28"/>
        <w:szCs w:val="28"/>
      </w:rPr>
      <w:fldChar w:fldCharType="end"/>
    </w:r>
    <w:r>
      <w:rPr>
        <w:rStyle w:val="8"/>
        <w:rFonts w:ascii="Times New Roman" w:hAnsi="Times New Roman" w:cs="Times New Roman"/>
        <w:sz w:val="28"/>
        <w:szCs w:val="28"/>
      </w:rPr>
      <w:t>—</w:t>
    </w:r>
  </w:p>
  <w:p w14:paraId="129FC9C5">
    <w:pPr>
      <w:pStyle w:val="4"/>
      <w:ind w:right="360" w:firstLine="360"/>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7BB7B">
    <w:pPr>
      <w:pStyle w:val="4"/>
      <w:ind w:firstLine="0" w:firstLineChars="0"/>
      <w:rPr>
        <w:rFonts w:ascii="Times New Roman" w:hAnsi="Times New Roman" w:cs="Times New Roman"/>
      </w:rPr>
    </w:pPr>
    <w:r>
      <w:rPr>
        <w:rStyle w:val="8"/>
        <w:rFonts w:ascii="Times New Roman" w:hAnsi="Times New Roman" w:cs="Times New Roman"/>
        <w:sz w:val="28"/>
        <w:szCs w:val="24"/>
      </w:rPr>
      <w:t>—</w:t>
    </w:r>
    <w:r>
      <w:rPr>
        <w:rFonts w:ascii="Times New Roman" w:hAnsi="Times New Roman" w:cs="Times New Roman"/>
        <w:sz w:val="28"/>
      </w:rPr>
      <w:fldChar w:fldCharType="begin"/>
    </w:r>
    <w:r>
      <w:rPr>
        <w:rStyle w:val="8"/>
        <w:rFonts w:ascii="Times New Roman" w:hAnsi="Times New Roman" w:cs="Times New Roman"/>
        <w:sz w:val="28"/>
        <w:szCs w:val="24"/>
      </w:rPr>
      <w:instrText xml:space="preserve">PAGE  </w:instrText>
    </w:r>
    <w:r>
      <w:rPr>
        <w:rFonts w:ascii="Times New Roman" w:hAnsi="Times New Roman" w:cs="Times New Roman"/>
        <w:sz w:val="28"/>
      </w:rPr>
      <w:fldChar w:fldCharType="separate"/>
    </w:r>
    <w:r>
      <w:rPr>
        <w:rStyle w:val="8"/>
        <w:rFonts w:ascii="Times New Roman" w:hAnsi="Times New Roman" w:cs="Times New Roman"/>
        <w:sz w:val="28"/>
        <w:szCs w:val="24"/>
      </w:rPr>
      <w:t>16</w:t>
    </w:r>
    <w:r>
      <w:rPr>
        <w:rFonts w:ascii="Times New Roman" w:hAnsi="Times New Roman" w:cs="Times New Roman"/>
        <w:sz w:val="28"/>
      </w:rPr>
      <w:fldChar w:fldCharType="end"/>
    </w:r>
    <w:r>
      <w:rPr>
        <w:rStyle w:val="8"/>
        <w:rFonts w:ascii="Times New Roman" w:hAnsi="Times New Roman" w:cs="Times New Roman"/>
        <w:sz w:val="28"/>
        <w:szCs w:val="24"/>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1C8CE">
    <w:pPr>
      <w:pStyle w:val="4"/>
      <w:ind w:firstLine="360"/>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0A555">
    <w:pPr>
      <w:pStyle w:val="5"/>
      <w:pBdr>
        <w:bottom w:val="none" w:color="auto" w:sz="0" w:space="0"/>
      </w:pBdr>
      <w:ind w:firstLine="360"/>
      <w:jc w:val="left"/>
      <w:rPr>
        <w:rFonts w:ascii="Times New Roman" w:hAnsi="Times New Roman"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48B15">
    <w:pPr>
      <w:pStyle w:val="5"/>
      <w:pBdr>
        <w:bottom w:val="none" w:color="auto" w:sz="0" w:space="0"/>
      </w:pBdr>
      <w:ind w:firstLine="360"/>
      <w:jc w:val="left"/>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7DDB2">
    <w:pPr>
      <w:pStyle w:val="5"/>
      <w:pBdr>
        <w:bottom w:val="none" w:color="auto" w:sz="0" w:space="0"/>
      </w:pBdr>
      <w:ind w:firstLine="360"/>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3ZGExZjYwMTI4YmMyMDhjZTQxZmYxZDI0ZTcyMmYifQ=="/>
  </w:docVars>
  <w:rsids>
    <w:rsidRoot w:val="6DB07B1B"/>
    <w:rsid w:val="6DB07B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579" w:lineRule="atLeast"/>
      <w:ind w:firstLine="200" w:firstLineChars="200"/>
      <w:jc w:val="both"/>
    </w:pPr>
    <w:rPr>
      <w:rFonts w:ascii="Times New Roman" w:hAnsi="Times New Roman" w:eastAsia="仿宋_GB2312" w:cs="Times New Roman"/>
      <w:kern w:val="2"/>
      <w:sz w:val="32"/>
      <w:szCs w:val="24"/>
      <w:lang w:val="en-US" w:eastAsia="zh-CN" w:bidi="ar-SA"/>
    </w:rPr>
  </w:style>
  <w:style w:type="paragraph" w:styleId="2">
    <w:name w:val="heading 1"/>
    <w:next w:val="1"/>
    <w:qFormat/>
    <w:uiPriority w:val="0"/>
    <w:pPr>
      <w:keepNext/>
      <w:keepLines/>
      <w:widowControl w:val="0"/>
      <w:adjustRightInd w:val="0"/>
      <w:snapToGrid w:val="0"/>
      <w:spacing w:line="760" w:lineRule="exact"/>
      <w:ind w:firstLine="0" w:firstLineChars="0"/>
      <w:jc w:val="center"/>
      <w:outlineLvl w:val="0"/>
    </w:pPr>
    <w:rPr>
      <w:rFonts w:ascii="Times New Roman" w:hAnsi="Times New Roman" w:eastAsia="方正小标宋简体" w:cs="Times New Roman"/>
      <w:bCs/>
      <w:kern w:val="44"/>
      <w:sz w:val="44"/>
      <w:szCs w:val="44"/>
      <w:lang w:val="en-US" w:eastAsia="zh-CN" w:bidi="ar-SA"/>
    </w:rPr>
  </w:style>
  <w:style w:type="paragraph" w:styleId="3">
    <w:name w:val="heading 2"/>
    <w:next w:val="1"/>
    <w:qFormat/>
    <w:uiPriority w:val="0"/>
    <w:pPr>
      <w:keepNext/>
      <w:keepLines/>
      <w:widowControl w:val="0"/>
      <w:adjustRightInd w:val="0"/>
      <w:snapToGrid w:val="0"/>
      <w:spacing w:line="579" w:lineRule="atLeast"/>
      <w:ind w:firstLine="200" w:firstLineChars="200"/>
      <w:jc w:val="both"/>
      <w:outlineLvl w:val="1"/>
    </w:pPr>
    <w:rPr>
      <w:rFonts w:ascii="Times New Roman" w:hAnsi="Times New Roman" w:eastAsia="黑体" w:cs="Times New Roman"/>
      <w:bCs/>
      <w:kern w:val="2"/>
      <w:sz w:val="32"/>
      <w:szCs w:val="32"/>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qFormat/>
    <w:uiPriority w:val="0"/>
    <w:pPr>
      <w:widowControl w:val="0"/>
      <w:tabs>
        <w:tab w:val="center" w:pos="4153"/>
        <w:tab w:val="right" w:pos="8306"/>
      </w:tabs>
      <w:adjustRightInd w:val="0"/>
      <w:snapToGrid w:val="0"/>
      <w:spacing w:line="240" w:lineRule="atLeast"/>
      <w:ind w:firstLine="200" w:firstLineChars="200"/>
      <w:jc w:val="left"/>
    </w:pPr>
    <w:rPr>
      <w:rFonts w:ascii="Times New Roman" w:hAnsi="Times New Roman" w:eastAsia="仿宋_GB2312" w:cs="Times New Roman"/>
      <w:kern w:val="2"/>
      <w:sz w:val="18"/>
      <w:szCs w:val="18"/>
      <w:lang w:val="en-US" w:eastAsia="zh-CN" w:bidi="ar-SA"/>
    </w:rPr>
  </w:style>
  <w:style w:type="paragraph" w:styleId="5">
    <w:name w:val="header"/>
    <w:qFormat/>
    <w:uiPriority w:val="0"/>
    <w:pPr>
      <w:widowControl w:val="0"/>
      <w:pBdr>
        <w:bottom w:val="single" w:color="auto" w:sz="6" w:space="1"/>
      </w:pBdr>
      <w:tabs>
        <w:tab w:val="center" w:pos="4153"/>
        <w:tab w:val="right" w:pos="8306"/>
      </w:tabs>
      <w:adjustRightInd w:val="0"/>
      <w:snapToGrid w:val="0"/>
      <w:spacing w:line="240" w:lineRule="atLeast"/>
      <w:ind w:firstLine="200" w:firstLineChars="200"/>
      <w:jc w:val="center"/>
    </w:pPr>
    <w:rPr>
      <w:rFonts w:ascii="Times New Roman" w:hAnsi="Times New Roman" w:eastAsia="仿宋_GB2312" w:cs="Times New Roman"/>
      <w:kern w:val="2"/>
      <w:sz w:val="18"/>
      <w:szCs w:val="18"/>
      <w:lang w:val="en-US" w:eastAsia="zh-CN" w:bidi="ar-SA"/>
    </w:rPr>
  </w:style>
  <w:style w:type="character" w:styleId="8">
    <w:name w:val="page numb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2024-08-05T07:45:00Z</dcterms:created>
  <dc:creator>Rocy</dc:creator>
  <cp:lastModifiedBy>Rocy</cp:lastModifiedBy>
  <dcterms:modified xsi:type="dcterms:W3CDTF">2024-08-05T07:45:59Z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A24E40946C04458F95612C14751051D1_11</vt:lpwstr>
  </property>
</Properties>
</file>